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9" w:rsidRPr="000267F6" w:rsidRDefault="00374CB9" w:rsidP="00374CB9">
      <w:pPr>
        <w:ind w:right="-514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74CB9" w:rsidTr="00DF4A8F">
        <w:tc>
          <w:tcPr>
            <w:tcW w:w="8522" w:type="dxa"/>
            <w:shd w:val="clear" w:color="auto" w:fill="auto"/>
          </w:tcPr>
          <w:p w:rsidR="00374CB9" w:rsidRPr="00DF4A8F" w:rsidRDefault="006C6CD1" w:rsidP="00DF4A8F">
            <w:pPr>
              <w:numPr>
                <w:ilvl w:val="1"/>
                <w:numId w:val="1"/>
              </w:numPr>
              <w:ind w:right="-514" w:hanging="1114"/>
              <w:rPr>
                <w:b/>
                <w:sz w:val="32"/>
                <w:szCs w:val="32"/>
              </w:rPr>
            </w:pPr>
            <w:r w:rsidRPr="00DF4A8F">
              <w:rPr>
                <w:b/>
                <w:sz w:val="32"/>
                <w:szCs w:val="32"/>
              </w:rPr>
              <w:t>right</w:t>
            </w:r>
          </w:p>
        </w:tc>
      </w:tr>
    </w:tbl>
    <w:p w:rsidR="00374CB9" w:rsidRDefault="00374CB9" w:rsidP="00374CB9">
      <w:pPr>
        <w:ind w:right="-514"/>
      </w:pPr>
    </w:p>
    <w:p w:rsidR="005A4B32" w:rsidRDefault="005A4B32"/>
    <w:p w:rsidR="00ED299A" w:rsidRDefault="006C6CD1">
      <w:r>
        <w:t xml:space="preserve">A right </w:t>
      </w:r>
      <w:proofErr w:type="gramStart"/>
      <w:r>
        <w:t>can be described</w:t>
      </w:r>
      <w:proofErr w:type="gramEnd"/>
      <w:r>
        <w:t xml:space="preserve"> as (1) title to or interest in any property (2) any other interest or privilege recognized and protected by law (3) freedom to exercise any</w:t>
      </w:r>
      <w:r w:rsidR="00ED299A">
        <w:t xml:space="preserve"> power conferred by law.</w:t>
      </w:r>
    </w:p>
    <w:p w:rsidR="00ED299A" w:rsidRDefault="00ED299A"/>
    <w:p w:rsidR="00ED299A" w:rsidRDefault="00ED299A">
      <w:r w:rsidRPr="000A62C9">
        <w:rPr>
          <w:b/>
        </w:rPr>
        <w:t>Right to</w:t>
      </w:r>
      <w:r>
        <w:t xml:space="preserve"> = entitlement to something</w:t>
      </w:r>
    </w:p>
    <w:p w:rsidR="00ED299A" w:rsidRDefault="00ED299A"/>
    <w:p w:rsidR="006C6CD1" w:rsidRDefault="00ED299A">
      <w:r w:rsidRPr="000A62C9">
        <w:rPr>
          <w:b/>
        </w:rPr>
        <w:t>Right in</w:t>
      </w:r>
      <w:r>
        <w:t xml:space="preserve"> = the right is less than total</w:t>
      </w:r>
      <w:r w:rsidR="006C6CD1">
        <w:t xml:space="preserve"> </w:t>
      </w:r>
    </w:p>
    <w:p w:rsidR="00ED299A" w:rsidRDefault="00ED299A" w:rsidP="00ED299A">
      <w:pPr>
        <w:numPr>
          <w:ilvl w:val="0"/>
          <w:numId w:val="3"/>
        </w:numPr>
      </w:pPr>
      <w:r>
        <w:t>Compensation is payable when a loss occurs because some right in property (as opposed to the actual property itself) is taken away or interfered with.</w:t>
      </w:r>
    </w:p>
    <w:p w:rsidR="00ED299A" w:rsidRDefault="00ED299A" w:rsidP="00ED299A"/>
    <w:p w:rsidR="00ED299A" w:rsidRDefault="00ED299A" w:rsidP="00ED299A">
      <w:proofErr w:type="gramStart"/>
      <w:r>
        <w:t xml:space="preserve">When you refer to right more as an interest than as an entitlement, then you should use </w:t>
      </w:r>
      <w:r w:rsidRPr="000A62C9">
        <w:rPr>
          <w:u w:val="single"/>
        </w:rPr>
        <w:t>in</w:t>
      </w:r>
      <w:r>
        <w:t>.</w:t>
      </w:r>
      <w:proofErr w:type="gramEnd"/>
    </w:p>
    <w:p w:rsidR="00ED299A" w:rsidRDefault="00ED299A" w:rsidP="00ED299A"/>
    <w:p w:rsidR="00ED299A" w:rsidRDefault="00ED299A" w:rsidP="00ED299A">
      <w:r>
        <w:t xml:space="preserve">A right to the house implies that you have a right to own and live in the house. A right in the house implies </w:t>
      </w:r>
      <w:proofErr w:type="gramStart"/>
      <w:r>
        <w:t>that there may be others who also have rights regarding the house</w:t>
      </w:r>
      <w:proofErr w:type="gramEnd"/>
      <w:r>
        <w:t>.</w:t>
      </w:r>
    </w:p>
    <w:p w:rsidR="00ED299A" w:rsidRPr="000267F6" w:rsidRDefault="00ED299A" w:rsidP="00ED299A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D299A" w:rsidTr="00DF4A8F">
        <w:tc>
          <w:tcPr>
            <w:tcW w:w="8522" w:type="dxa"/>
            <w:shd w:val="clear" w:color="auto" w:fill="auto"/>
          </w:tcPr>
          <w:p w:rsidR="00ED299A" w:rsidRPr="00DF4A8F" w:rsidRDefault="00ED299A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i/>
                <w:sz w:val="32"/>
                <w:szCs w:val="32"/>
              </w:rPr>
              <w:lastRenderedPageBreak/>
              <w:t>rol</w:t>
            </w:r>
          </w:p>
        </w:tc>
      </w:tr>
    </w:tbl>
    <w:p w:rsidR="00ED299A" w:rsidRDefault="00ED299A" w:rsidP="00ED299A">
      <w:pPr>
        <w:ind w:right="-514"/>
      </w:pPr>
    </w:p>
    <w:p w:rsidR="00ED299A" w:rsidRDefault="00ED299A" w:rsidP="00ED299A"/>
    <w:p w:rsidR="00ED299A" w:rsidRDefault="00ED299A" w:rsidP="00ED299A">
      <w:r>
        <w:t xml:space="preserve">There is no precise English equivalent for a </w:t>
      </w:r>
      <w:r w:rsidRPr="00ED299A">
        <w:rPr>
          <w:i/>
        </w:rPr>
        <w:t>rol</w:t>
      </w:r>
      <w:r>
        <w:t>. Suggested translations:</w:t>
      </w:r>
    </w:p>
    <w:p w:rsidR="00ED299A" w:rsidRDefault="00ED299A" w:rsidP="00ED299A">
      <w:pPr>
        <w:numPr>
          <w:ilvl w:val="0"/>
          <w:numId w:val="3"/>
        </w:numPr>
      </w:pPr>
      <w:r w:rsidRPr="008241D7">
        <w:rPr>
          <w:i/>
        </w:rPr>
        <w:t>rol</w:t>
      </w:r>
      <w:r>
        <w:t xml:space="preserve"> = case list</w:t>
      </w:r>
    </w:p>
    <w:p w:rsidR="00ED299A" w:rsidRDefault="00ED299A" w:rsidP="00ED299A">
      <w:pPr>
        <w:numPr>
          <w:ilvl w:val="0"/>
          <w:numId w:val="3"/>
        </w:numPr>
      </w:pPr>
      <w:r w:rsidRPr="00DF4A8F">
        <w:rPr>
          <w:i/>
        </w:rPr>
        <w:t>rolnummer</w:t>
      </w:r>
      <w:r>
        <w:t xml:space="preserve"> = case list number</w:t>
      </w:r>
    </w:p>
    <w:p w:rsidR="00ED299A" w:rsidRDefault="00ED299A" w:rsidP="00ED299A">
      <w:pPr>
        <w:numPr>
          <w:ilvl w:val="0"/>
          <w:numId w:val="3"/>
        </w:numPr>
      </w:pPr>
      <w:r w:rsidRPr="008241D7">
        <w:rPr>
          <w:i/>
        </w:rPr>
        <w:t>rolzitting</w:t>
      </w:r>
      <w:r>
        <w:t xml:space="preserve"> = case list hearing</w:t>
      </w:r>
    </w:p>
    <w:p w:rsidR="00ED299A" w:rsidRDefault="00ED299A" w:rsidP="00ED299A">
      <w:pPr>
        <w:numPr>
          <w:ilvl w:val="0"/>
          <w:numId w:val="3"/>
        </w:numPr>
      </w:pPr>
      <w:r w:rsidRPr="008241D7">
        <w:rPr>
          <w:i/>
        </w:rPr>
        <w:t>verwezen naar de rol</w:t>
      </w:r>
      <w:r>
        <w:t xml:space="preserve"> = return to the case list</w:t>
      </w:r>
    </w:p>
    <w:p w:rsidR="00ED299A" w:rsidRDefault="00ED299A" w:rsidP="00ED299A"/>
    <w:p w:rsidR="000A62C9" w:rsidRDefault="00ED299A" w:rsidP="00ED299A">
      <w:r>
        <w:t xml:space="preserve">A cause list is not the same as a </w:t>
      </w:r>
      <w:r w:rsidRPr="008241D7">
        <w:rPr>
          <w:i/>
        </w:rPr>
        <w:t>rol</w:t>
      </w:r>
      <w:r>
        <w:t xml:space="preserve">. Cause list is the term used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for cases </w:t>
      </w:r>
      <w:proofErr w:type="gramStart"/>
      <w:r>
        <w:t>being heard</w:t>
      </w:r>
      <w:proofErr w:type="gramEnd"/>
      <w:r>
        <w:t xml:space="preserve"> on any given day by a court. Similar terms used elsewhere </w:t>
      </w:r>
      <w:proofErr w:type="gramStart"/>
      <w:r>
        <w:t>are:</w:t>
      </w:r>
      <w:proofErr w:type="gramEnd"/>
      <w:r>
        <w:t xml:space="preserve"> docket list, hearings list, trial list.</w:t>
      </w:r>
    </w:p>
    <w:p w:rsidR="000A62C9" w:rsidRPr="000267F6" w:rsidRDefault="000A62C9" w:rsidP="000A62C9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A62C9" w:rsidTr="00DF4A8F">
        <w:tc>
          <w:tcPr>
            <w:tcW w:w="8522" w:type="dxa"/>
            <w:shd w:val="clear" w:color="auto" w:fill="auto"/>
          </w:tcPr>
          <w:p w:rsidR="000A62C9" w:rsidRPr="00DF4A8F" w:rsidRDefault="000A62C9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sz w:val="32"/>
                <w:szCs w:val="32"/>
              </w:rPr>
              <w:lastRenderedPageBreak/>
              <w:t xml:space="preserve">shall </w:t>
            </w:r>
            <w:r w:rsidR="00352D15" w:rsidRPr="00DF4A8F">
              <w:rPr>
                <w:b/>
                <w:sz w:val="32"/>
                <w:szCs w:val="32"/>
              </w:rPr>
              <w:t>/ should</w:t>
            </w:r>
          </w:p>
        </w:tc>
      </w:tr>
    </w:tbl>
    <w:p w:rsidR="000A62C9" w:rsidRDefault="000A62C9" w:rsidP="000A62C9">
      <w:pPr>
        <w:ind w:right="-5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A62C9" w:rsidTr="00DF4A8F">
        <w:tc>
          <w:tcPr>
            <w:tcW w:w="8522" w:type="dxa"/>
            <w:shd w:val="clear" w:color="auto" w:fill="auto"/>
          </w:tcPr>
          <w:p w:rsidR="000A62C9" w:rsidRPr="00DF4A8F" w:rsidRDefault="000A62C9" w:rsidP="00DF4A8F">
            <w:pPr>
              <w:ind w:right="-514"/>
              <w:rPr>
                <w:i/>
              </w:rPr>
            </w:pPr>
            <w:r w:rsidRPr="00DF4A8F">
              <w:rPr>
                <w:i/>
              </w:rPr>
              <w:t>Courts usually construe “shall” as creating an obligation. Sometimes though, they construe it as giving a mere direction … the differing senses of “</w:t>
            </w:r>
            <w:proofErr w:type="gramStart"/>
            <w:r w:rsidRPr="00DF4A8F">
              <w:rPr>
                <w:i/>
              </w:rPr>
              <w:t>shall</w:t>
            </w:r>
            <w:proofErr w:type="gramEnd"/>
            <w:r w:rsidRPr="00DF4A8F">
              <w:rPr>
                <w:i/>
              </w:rPr>
              <w:t>” point up the dangers inherent in its uncritical use. – Modern Legal Drafting, Peter Butt and Richard Castle</w:t>
            </w:r>
          </w:p>
        </w:tc>
      </w:tr>
    </w:tbl>
    <w:p w:rsidR="000A62C9" w:rsidRDefault="000A62C9" w:rsidP="008241D7">
      <w:pPr>
        <w:ind w:right="-514"/>
      </w:pPr>
    </w:p>
    <w:p w:rsidR="008241D7" w:rsidRPr="000267F6" w:rsidRDefault="008241D7" w:rsidP="008241D7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41D7" w:rsidTr="00DF4A8F">
        <w:tc>
          <w:tcPr>
            <w:tcW w:w="8522" w:type="dxa"/>
            <w:shd w:val="clear" w:color="auto" w:fill="auto"/>
          </w:tcPr>
          <w:p w:rsidR="008241D7" w:rsidRPr="00DF4A8F" w:rsidRDefault="003A059C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sz w:val="32"/>
                <w:szCs w:val="32"/>
              </w:rPr>
              <w:lastRenderedPageBreak/>
              <w:t>stationery &amp; stationary</w:t>
            </w:r>
          </w:p>
        </w:tc>
      </w:tr>
    </w:tbl>
    <w:p w:rsidR="008241D7" w:rsidRDefault="008241D7" w:rsidP="008241D7">
      <w:pPr>
        <w:ind w:right="-514"/>
      </w:pPr>
    </w:p>
    <w:p w:rsidR="003A059C" w:rsidRDefault="003A059C" w:rsidP="00ED299A"/>
    <w:p w:rsidR="00ED299A" w:rsidRPr="003A059C" w:rsidRDefault="003A059C" w:rsidP="00ED299A">
      <w:pPr>
        <w:rPr>
          <w:i/>
        </w:rPr>
      </w:pPr>
      <w:r>
        <w:t xml:space="preserve">Stationery = </w:t>
      </w:r>
      <w:r w:rsidRPr="003A059C">
        <w:rPr>
          <w:i/>
        </w:rPr>
        <w:t>kantoorbenodigheden</w:t>
      </w:r>
    </w:p>
    <w:p w:rsidR="003A059C" w:rsidRDefault="003A059C" w:rsidP="00ED299A">
      <w:pPr>
        <w:rPr>
          <w:i/>
        </w:rPr>
      </w:pPr>
      <w:r>
        <w:t xml:space="preserve">Stationary = </w:t>
      </w:r>
      <w:r w:rsidRPr="003A059C">
        <w:rPr>
          <w:i/>
        </w:rPr>
        <w:t>stationair</w:t>
      </w:r>
    </w:p>
    <w:p w:rsidR="00352D15" w:rsidRPr="000267F6" w:rsidRDefault="003A059C" w:rsidP="00352D15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52D15" w:rsidTr="00DF4A8F">
        <w:tc>
          <w:tcPr>
            <w:tcW w:w="8522" w:type="dxa"/>
            <w:shd w:val="clear" w:color="auto" w:fill="auto"/>
          </w:tcPr>
          <w:p w:rsidR="00352D15" w:rsidRPr="00DF4A8F" w:rsidRDefault="00352D15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i/>
                <w:sz w:val="32"/>
                <w:szCs w:val="32"/>
              </w:rPr>
              <w:lastRenderedPageBreak/>
              <w:t>taxateur, taxatie &amp; taxeren</w:t>
            </w:r>
          </w:p>
        </w:tc>
      </w:tr>
    </w:tbl>
    <w:p w:rsidR="00352D15" w:rsidRDefault="00352D15" w:rsidP="00352D15">
      <w:pPr>
        <w:ind w:right="-514"/>
      </w:pPr>
    </w:p>
    <w:p w:rsidR="00352D15" w:rsidRDefault="00352D15" w:rsidP="00352D15">
      <w:pPr>
        <w:ind w:right="-514"/>
      </w:pPr>
    </w:p>
    <w:p w:rsidR="00352D15" w:rsidRDefault="00352D15" w:rsidP="00352D15">
      <w:pPr>
        <w:ind w:right="-514"/>
      </w:pPr>
      <w:r>
        <w:t xml:space="preserve">Different terms </w:t>
      </w:r>
      <w:proofErr w:type="gramStart"/>
      <w:r>
        <w:t>are used</w:t>
      </w:r>
      <w:proofErr w:type="gramEnd"/>
      <w:r>
        <w:t xml:space="preserve"> in the English-speaking world for </w:t>
      </w:r>
      <w:r w:rsidRPr="00352D15">
        <w:rPr>
          <w:i/>
        </w:rPr>
        <w:t>taxateur</w:t>
      </w:r>
      <w:r>
        <w:t xml:space="preserve"> (</w:t>
      </w:r>
      <w:r w:rsidRPr="00352D15">
        <w:rPr>
          <w:i/>
        </w:rPr>
        <w:t>i.e.</w:t>
      </w:r>
      <w:r>
        <w:t xml:space="preserve"> someone who estimates the financial value of property). Here is an overview of the terms used.</w:t>
      </w:r>
    </w:p>
    <w:p w:rsidR="00352D15" w:rsidRDefault="00352D15" w:rsidP="00352D15">
      <w:pPr>
        <w:ind w:right="-5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r>
              <w:t>surveyor or valuer</w:t>
            </w:r>
          </w:p>
        </w:tc>
      </w:tr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smartTag w:uri="urn:schemas-microsoft-com:office:smarttags" w:element="country-region">
              <w:smartTag w:uri="urn:schemas-microsoft-com:office:smarttags" w:element="place">
                <w:r>
                  <w:t>Ireland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r>
              <w:t>surveyor or valuer</w:t>
            </w:r>
          </w:p>
        </w:tc>
      </w:tr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r>
              <w:t>US</w:t>
            </w:r>
          </w:p>
        </w:tc>
        <w:tc>
          <w:tcPr>
            <w:tcW w:w="4261" w:type="dxa"/>
            <w:shd w:val="clear" w:color="auto" w:fill="auto"/>
          </w:tcPr>
          <w:p w:rsidR="00352D15" w:rsidRDefault="00140DB4" w:rsidP="00DF4A8F">
            <w:pPr>
              <w:ind w:right="-514"/>
            </w:pPr>
            <w:r>
              <w:t>appraiser</w:t>
            </w:r>
          </w:p>
        </w:tc>
      </w:tr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:rsidR="00352D15" w:rsidRDefault="00140DB4" w:rsidP="00DF4A8F">
            <w:pPr>
              <w:ind w:right="-514"/>
            </w:pPr>
            <w:r>
              <w:t>appraiser</w:t>
            </w:r>
          </w:p>
        </w:tc>
      </w:tr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:rsidR="00352D15" w:rsidRDefault="00140DB4" w:rsidP="00DF4A8F">
            <w:pPr>
              <w:ind w:right="-514"/>
            </w:pPr>
            <w:r>
              <w:t>valuer</w:t>
            </w:r>
          </w:p>
        </w:tc>
      </w:tr>
      <w:tr w:rsidR="00352D15" w:rsidTr="00DF4A8F">
        <w:tc>
          <w:tcPr>
            <w:tcW w:w="4261" w:type="dxa"/>
            <w:shd w:val="clear" w:color="auto" w:fill="auto"/>
          </w:tcPr>
          <w:p w:rsidR="00352D15" w:rsidRDefault="00352D15" w:rsidP="00DF4A8F">
            <w:pPr>
              <w:ind w:right="-514"/>
            </w:pPr>
            <w:smartTag w:uri="urn:schemas-microsoft-com:office:smarttags" w:element="country-region">
              <w:smartTag w:uri="urn:schemas-microsoft-com:office:smarttags" w:element="place">
                <w:r>
                  <w:t>South Africa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:rsidR="00352D15" w:rsidRDefault="00140DB4" w:rsidP="00DF4A8F">
            <w:pPr>
              <w:ind w:right="-514"/>
            </w:pPr>
            <w:r>
              <w:t>appraiser and valuer</w:t>
            </w:r>
          </w:p>
        </w:tc>
      </w:tr>
    </w:tbl>
    <w:p w:rsidR="00352D15" w:rsidRDefault="00352D15" w:rsidP="00352D15">
      <w:pPr>
        <w:ind w:right="-514"/>
      </w:pPr>
    </w:p>
    <w:p w:rsidR="00140DB4" w:rsidRDefault="00140DB4" w:rsidP="00352D15">
      <w:pPr>
        <w:ind w:right="-514"/>
      </w:pPr>
      <w:r>
        <w:t xml:space="preserve">The </w:t>
      </w:r>
      <w:r w:rsidRPr="00140DB4">
        <w:rPr>
          <w:i/>
        </w:rPr>
        <w:t>Federatie van Taxateurs Makelaars Veilinghouders (FTMV)</w:t>
      </w:r>
      <w:r>
        <w:t xml:space="preserve"> uses both appraiser and valuer on its website.</w:t>
      </w:r>
    </w:p>
    <w:p w:rsidR="00140DB4" w:rsidRPr="000267F6" w:rsidRDefault="00140DB4" w:rsidP="00140DB4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40DB4" w:rsidTr="00DF4A8F">
        <w:tc>
          <w:tcPr>
            <w:tcW w:w="8522" w:type="dxa"/>
            <w:shd w:val="clear" w:color="auto" w:fill="auto"/>
          </w:tcPr>
          <w:p w:rsidR="00140DB4" w:rsidRPr="00DF4A8F" w:rsidRDefault="00140DB4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i/>
                <w:sz w:val="32"/>
                <w:szCs w:val="32"/>
              </w:rPr>
              <w:lastRenderedPageBreak/>
              <w:t>tekortkoming</w:t>
            </w:r>
          </w:p>
        </w:tc>
      </w:tr>
    </w:tbl>
    <w:p w:rsidR="00140DB4" w:rsidRDefault="00140DB4" w:rsidP="00140DB4">
      <w:pPr>
        <w:ind w:right="-514"/>
      </w:pPr>
    </w:p>
    <w:p w:rsidR="00140DB4" w:rsidRDefault="00140DB4" w:rsidP="00352D15">
      <w:pPr>
        <w:ind w:right="-514"/>
      </w:pPr>
    </w:p>
    <w:p w:rsidR="00140DB4" w:rsidRDefault="00140DB4" w:rsidP="00352D15">
      <w:pPr>
        <w:ind w:right="-514"/>
      </w:pPr>
      <w:r>
        <w:t xml:space="preserve">Translations of </w:t>
      </w:r>
      <w:r w:rsidRPr="00140DB4">
        <w:rPr>
          <w:i/>
        </w:rPr>
        <w:t>tekortkoming</w:t>
      </w:r>
      <w:r>
        <w:t xml:space="preserve"> include shortcoming, failure, default, deficiency, breach and at fault.</w:t>
      </w:r>
    </w:p>
    <w:p w:rsidR="00140DB4" w:rsidRDefault="00140DB4" w:rsidP="00352D15">
      <w:pPr>
        <w:ind w:right="-514"/>
      </w:pPr>
    </w:p>
    <w:p w:rsidR="00140DB4" w:rsidRDefault="00140DB4" w:rsidP="00352D15">
      <w:pPr>
        <w:ind w:right="-514"/>
      </w:pPr>
      <w:r>
        <w:t xml:space="preserve">For example: </w:t>
      </w:r>
    </w:p>
    <w:p w:rsidR="00140DB4" w:rsidRDefault="00140DB4" w:rsidP="00140DB4">
      <w:pPr>
        <w:numPr>
          <w:ilvl w:val="0"/>
          <w:numId w:val="5"/>
        </w:numPr>
        <w:ind w:right="-514"/>
      </w:pPr>
      <w:r>
        <w:t>non-performance of the obligation</w:t>
      </w:r>
    </w:p>
    <w:p w:rsidR="00140DB4" w:rsidRDefault="00140DB4" w:rsidP="00140DB4">
      <w:pPr>
        <w:numPr>
          <w:ilvl w:val="0"/>
          <w:numId w:val="5"/>
        </w:numPr>
        <w:ind w:right="-514"/>
      </w:pPr>
      <w:r>
        <w:t>failure to perform the obligation</w:t>
      </w:r>
    </w:p>
    <w:p w:rsidR="00140DB4" w:rsidRDefault="00140DB4" w:rsidP="00140DB4">
      <w:pPr>
        <w:numPr>
          <w:ilvl w:val="0"/>
          <w:numId w:val="5"/>
        </w:numPr>
        <w:ind w:right="-514"/>
      </w:pPr>
      <w:r>
        <w:t>… did not perform its obligation</w:t>
      </w:r>
    </w:p>
    <w:p w:rsidR="00140DB4" w:rsidRDefault="00140DB4" w:rsidP="00140DB4">
      <w:pPr>
        <w:numPr>
          <w:ilvl w:val="0"/>
          <w:numId w:val="5"/>
        </w:numPr>
        <w:ind w:right="-514"/>
      </w:pPr>
      <w:r>
        <w:t>… in breach of its obligation to</w:t>
      </w:r>
    </w:p>
    <w:p w:rsidR="00140DB4" w:rsidRDefault="00140DB4" w:rsidP="00140DB4">
      <w:pPr>
        <w:numPr>
          <w:ilvl w:val="0"/>
          <w:numId w:val="5"/>
        </w:numPr>
        <w:ind w:right="-514"/>
      </w:pPr>
      <w:r>
        <w:t>… in default of its obligation to</w:t>
      </w:r>
    </w:p>
    <w:p w:rsidR="003A059C" w:rsidRPr="000267F6" w:rsidRDefault="00352D15" w:rsidP="003A059C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059C" w:rsidTr="00DF4A8F">
        <w:tc>
          <w:tcPr>
            <w:tcW w:w="8522" w:type="dxa"/>
            <w:shd w:val="clear" w:color="auto" w:fill="auto"/>
          </w:tcPr>
          <w:p w:rsidR="003A059C" w:rsidRPr="00DF4A8F" w:rsidRDefault="003A059C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i/>
                <w:sz w:val="32"/>
                <w:szCs w:val="32"/>
              </w:rPr>
              <w:lastRenderedPageBreak/>
              <w:t>tot en met</w:t>
            </w:r>
          </w:p>
        </w:tc>
      </w:tr>
    </w:tbl>
    <w:p w:rsidR="003A059C" w:rsidRDefault="003A059C" w:rsidP="003A059C">
      <w:pPr>
        <w:ind w:right="-514"/>
      </w:pPr>
    </w:p>
    <w:p w:rsidR="003A059C" w:rsidRDefault="003A059C" w:rsidP="00ED299A"/>
    <w:p w:rsidR="003A059C" w:rsidRDefault="003A059C" w:rsidP="00ED299A">
      <w:r>
        <w:t xml:space="preserve">It is not necessary to use the idea of </w:t>
      </w:r>
      <w:r w:rsidRPr="003A059C">
        <w:rPr>
          <w:i/>
        </w:rPr>
        <w:t>tot en met</w:t>
      </w:r>
      <w:r>
        <w:t xml:space="preserve"> in English.</w:t>
      </w:r>
    </w:p>
    <w:p w:rsidR="003A059C" w:rsidRDefault="003A059C" w:rsidP="003A059C">
      <w:pPr>
        <w:numPr>
          <w:ilvl w:val="0"/>
          <w:numId w:val="4"/>
        </w:numPr>
      </w:pPr>
      <w:r>
        <w:t>The registry is open from Monday to Friday</w:t>
      </w:r>
    </w:p>
    <w:p w:rsidR="003A059C" w:rsidRDefault="003A059C" w:rsidP="003A059C"/>
    <w:p w:rsidR="003A059C" w:rsidRDefault="003A059C" w:rsidP="003A059C">
      <w:r>
        <w:t xml:space="preserve">The following is not grammatically incorrect, but </w:t>
      </w:r>
      <w:proofErr w:type="gramStart"/>
      <w:r>
        <w:t>wouldn’t</w:t>
      </w:r>
      <w:proofErr w:type="gramEnd"/>
      <w:r>
        <w:t xml:space="preserve"> be used by English-speakers.</w:t>
      </w:r>
    </w:p>
    <w:p w:rsidR="00352D15" w:rsidRDefault="003A059C" w:rsidP="003A059C">
      <w:pPr>
        <w:numPr>
          <w:ilvl w:val="0"/>
          <w:numId w:val="4"/>
        </w:numPr>
      </w:pPr>
      <w:r>
        <w:t>The registry is open from Monday up to and including Friday.</w:t>
      </w:r>
    </w:p>
    <w:p w:rsidR="00352D15" w:rsidRPr="000267F6" w:rsidRDefault="00352D15" w:rsidP="00352D15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52D15" w:rsidTr="00DF4A8F">
        <w:tc>
          <w:tcPr>
            <w:tcW w:w="8522" w:type="dxa"/>
            <w:shd w:val="clear" w:color="auto" w:fill="auto"/>
          </w:tcPr>
          <w:p w:rsidR="00352D15" w:rsidRPr="00DF4A8F" w:rsidRDefault="00352D15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sz w:val="32"/>
                <w:szCs w:val="32"/>
              </w:rPr>
              <w:lastRenderedPageBreak/>
              <w:t>therefore &amp; therefor</w:t>
            </w:r>
          </w:p>
        </w:tc>
      </w:tr>
    </w:tbl>
    <w:p w:rsidR="00352D15" w:rsidRDefault="00352D15" w:rsidP="00352D15">
      <w:pPr>
        <w:ind w:right="-514"/>
      </w:pPr>
    </w:p>
    <w:p w:rsidR="003A059C" w:rsidRDefault="003A059C" w:rsidP="00352D15"/>
    <w:p w:rsidR="00352D15" w:rsidRDefault="00352D15" w:rsidP="00352D15">
      <w:r>
        <w:t>Therefore = for that reason; consequently</w:t>
      </w:r>
    </w:p>
    <w:p w:rsidR="00352D15" w:rsidRDefault="00352D15" w:rsidP="00352D15">
      <w:r>
        <w:t>Therefore = for that; for it</w:t>
      </w:r>
    </w:p>
    <w:p w:rsidR="003A059C" w:rsidRPr="000267F6" w:rsidRDefault="003A059C" w:rsidP="003A059C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059C" w:rsidTr="00DF4A8F">
        <w:tc>
          <w:tcPr>
            <w:tcW w:w="8522" w:type="dxa"/>
            <w:shd w:val="clear" w:color="auto" w:fill="auto"/>
          </w:tcPr>
          <w:p w:rsidR="003A059C" w:rsidRPr="00DF4A8F" w:rsidRDefault="003A059C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F4A8F">
                  <w:rPr>
                    <w:b/>
                    <w:sz w:val="32"/>
                    <w:szCs w:val="32"/>
                  </w:rPr>
                  <w:lastRenderedPageBreak/>
                  <w:t>UK</w:t>
                </w:r>
              </w:smartTag>
            </w:smartTag>
            <w:r w:rsidRPr="00DF4A8F">
              <w:rPr>
                <w:b/>
                <w:sz w:val="32"/>
                <w:szCs w:val="32"/>
              </w:rPr>
              <w:t xml:space="preserve"> </w:t>
            </w:r>
            <w:r w:rsidR="00A01B85" w:rsidRPr="00DF4A8F">
              <w:rPr>
                <w:b/>
                <w:sz w:val="32"/>
                <w:szCs w:val="32"/>
              </w:rPr>
              <w:t>vs.</w:t>
            </w:r>
            <w:r w:rsidRPr="00DF4A8F">
              <w:rPr>
                <w:b/>
                <w:sz w:val="32"/>
                <w:szCs w:val="32"/>
              </w:rPr>
              <w:t xml:space="preserve"> US English</w:t>
            </w:r>
          </w:p>
        </w:tc>
      </w:tr>
    </w:tbl>
    <w:p w:rsidR="003A059C" w:rsidRDefault="003A059C" w:rsidP="003A059C">
      <w:pPr>
        <w:ind w:right="-514"/>
      </w:pPr>
    </w:p>
    <w:p w:rsidR="003A059C" w:rsidRDefault="003A059C" w:rsidP="003A059C">
      <w:pPr>
        <w:ind w:right="-5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9060E" w:rsidTr="00DF4A8F">
        <w:tc>
          <w:tcPr>
            <w:tcW w:w="4261" w:type="dxa"/>
            <w:shd w:val="clear" w:color="auto" w:fill="auto"/>
          </w:tcPr>
          <w:p w:rsidR="00E9060E" w:rsidRPr="00DF4A8F" w:rsidRDefault="00E9060E" w:rsidP="00DF4A8F">
            <w:pPr>
              <w:ind w:right="-514"/>
              <w:rPr>
                <w:b/>
              </w:rPr>
            </w:pPr>
            <w:r w:rsidRPr="00DF4A8F">
              <w:rPr>
                <w:b/>
              </w:rPr>
              <w:t>BRITISH</w:t>
            </w:r>
          </w:p>
        </w:tc>
        <w:tc>
          <w:tcPr>
            <w:tcW w:w="4261" w:type="dxa"/>
            <w:shd w:val="clear" w:color="auto" w:fill="auto"/>
          </w:tcPr>
          <w:p w:rsidR="00E9060E" w:rsidRPr="00DF4A8F" w:rsidRDefault="00E9060E" w:rsidP="00DF4A8F">
            <w:pPr>
              <w:ind w:right="-514"/>
              <w:rPr>
                <w:b/>
              </w:rPr>
            </w:pPr>
            <w:r w:rsidRPr="00DF4A8F">
              <w:rPr>
                <w:b/>
              </w:rPr>
              <w:t>AMERICAN</w:t>
            </w:r>
          </w:p>
        </w:tc>
      </w:tr>
      <w:tr w:rsidR="00E9060E" w:rsidTr="00DF4A8F"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labour</w:t>
            </w:r>
          </w:p>
        </w:tc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labor</w:t>
            </w:r>
          </w:p>
        </w:tc>
      </w:tr>
      <w:tr w:rsidR="00E9060E" w:rsidTr="00DF4A8F"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authorise, authorisation</w:t>
            </w:r>
          </w:p>
        </w:tc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authorize, authorization</w:t>
            </w:r>
          </w:p>
        </w:tc>
      </w:tr>
      <w:tr w:rsidR="00E9060E" w:rsidTr="00DF4A8F"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a licence</w:t>
            </w:r>
          </w:p>
        </w:tc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a license</w:t>
            </w:r>
          </w:p>
        </w:tc>
      </w:tr>
      <w:tr w:rsidR="00E9060E" w:rsidTr="00DF4A8F"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to license</w:t>
            </w:r>
          </w:p>
        </w:tc>
        <w:tc>
          <w:tcPr>
            <w:tcW w:w="4261" w:type="dxa"/>
            <w:shd w:val="clear" w:color="auto" w:fill="auto"/>
          </w:tcPr>
          <w:p w:rsidR="00E9060E" w:rsidRDefault="00E9060E" w:rsidP="00DF4A8F">
            <w:pPr>
              <w:ind w:right="-514"/>
            </w:pPr>
            <w:r>
              <w:t>to licence</w:t>
            </w:r>
          </w:p>
        </w:tc>
      </w:tr>
    </w:tbl>
    <w:p w:rsidR="003A059C" w:rsidRDefault="003A059C" w:rsidP="003A059C">
      <w:pPr>
        <w:ind w:right="-514"/>
      </w:pPr>
    </w:p>
    <w:p w:rsidR="00E9060E" w:rsidRPr="000267F6" w:rsidRDefault="00E9060E" w:rsidP="00E9060E">
      <w:pPr>
        <w:ind w:right="-514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9060E" w:rsidTr="00DF4A8F">
        <w:tc>
          <w:tcPr>
            <w:tcW w:w="8522" w:type="dxa"/>
            <w:shd w:val="clear" w:color="auto" w:fill="auto"/>
          </w:tcPr>
          <w:p w:rsidR="00E9060E" w:rsidRPr="00DF4A8F" w:rsidRDefault="00E9060E" w:rsidP="00DF4A8F">
            <w:pPr>
              <w:numPr>
                <w:ilvl w:val="1"/>
                <w:numId w:val="1"/>
              </w:numPr>
              <w:tabs>
                <w:tab w:val="clear" w:pos="1440"/>
              </w:tabs>
              <w:ind w:left="720" w:right="-514" w:hanging="360"/>
              <w:rPr>
                <w:b/>
                <w:sz w:val="32"/>
                <w:szCs w:val="32"/>
              </w:rPr>
            </w:pPr>
            <w:r w:rsidRPr="00DF4A8F">
              <w:rPr>
                <w:b/>
                <w:sz w:val="32"/>
                <w:szCs w:val="32"/>
              </w:rPr>
              <w:lastRenderedPageBreak/>
              <w:t xml:space="preserve">Words – ordinary </w:t>
            </w:r>
            <w:r w:rsidR="00A01B85" w:rsidRPr="00DF4A8F">
              <w:rPr>
                <w:b/>
                <w:sz w:val="32"/>
                <w:szCs w:val="32"/>
              </w:rPr>
              <w:t xml:space="preserve">usage </w:t>
            </w:r>
            <w:r w:rsidRPr="00DF4A8F">
              <w:rPr>
                <w:b/>
                <w:sz w:val="32"/>
                <w:szCs w:val="32"/>
              </w:rPr>
              <w:t>&amp; legal</w:t>
            </w:r>
            <w:r w:rsidR="00A01B85" w:rsidRPr="00DF4A8F">
              <w:rPr>
                <w:b/>
                <w:sz w:val="32"/>
                <w:szCs w:val="32"/>
              </w:rPr>
              <w:t xml:space="preserve"> usage</w:t>
            </w:r>
          </w:p>
        </w:tc>
      </w:tr>
    </w:tbl>
    <w:p w:rsidR="00E9060E" w:rsidRDefault="00E9060E" w:rsidP="00E9060E">
      <w:pPr>
        <w:ind w:right="-514"/>
      </w:pPr>
    </w:p>
    <w:p w:rsidR="003A059C" w:rsidRDefault="003A059C" w:rsidP="003A059C"/>
    <w:p w:rsidR="00E9060E" w:rsidRDefault="00E9060E" w:rsidP="003A059C">
      <w:r>
        <w:t xml:space="preserve">There are a number of </w:t>
      </w:r>
      <w:proofErr w:type="gramStart"/>
      <w:r>
        <w:t>words which</w:t>
      </w:r>
      <w:proofErr w:type="gramEnd"/>
      <w:r>
        <w:t xml:space="preserve"> have one general meaning in ordinary English and another, specific, meaning in legal English. Care </w:t>
      </w:r>
      <w:proofErr w:type="gramStart"/>
      <w:r>
        <w:t>should be taken</w:t>
      </w:r>
      <w:proofErr w:type="gramEnd"/>
      <w:r>
        <w:t xml:space="preserve"> with these words. Here are some examples.</w:t>
      </w:r>
    </w:p>
    <w:p w:rsidR="00E9060E" w:rsidRDefault="00E9060E" w:rsidP="003A059C"/>
    <w:p w:rsidR="00E9060E" w:rsidRDefault="00E9060E" w:rsidP="003A059C">
      <w:r w:rsidRPr="00772749">
        <w:rPr>
          <w:b/>
        </w:rPr>
        <w:t>Consideration</w:t>
      </w:r>
      <w:r>
        <w:t xml:space="preserve"> in legal English means an act, forbearance, or promise by one party to a contract that constitutes the price for which the promise of the other party </w:t>
      </w:r>
      <w:proofErr w:type="gramStart"/>
      <w:r>
        <w:t>is bought</w:t>
      </w:r>
      <w:proofErr w:type="gramEnd"/>
      <w:r>
        <w:t>. Consideration is essential to the validity of any contact other than one made by deed.</w:t>
      </w:r>
    </w:p>
    <w:p w:rsidR="00772749" w:rsidRDefault="00772749" w:rsidP="003A059C"/>
    <w:p w:rsidR="00772749" w:rsidRDefault="00772749" w:rsidP="003A059C">
      <w:proofErr w:type="gramStart"/>
      <w:r w:rsidRPr="00772749">
        <w:rPr>
          <w:b/>
        </w:rPr>
        <w:t>Consideration</w:t>
      </w:r>
      <w:r>
        <w:t xml:space="preserve"> in ordinary English means; (1) careful thought, (2) a fact taken into account when making a decision, (3) thoughtfulness towards others.</w:t>
      </w:r>
      <w:proofErr w:type="gramEnd"/>
    </w:p>
    <w:p w:rsidR="00772749" w:rsidRDefault="00772749" w:rsidP="003A059C"/>
    <w:p w:rsidR="00772749" w:rsidRDefault="00772749" w:rsidP="003A059C">
      <w:r w:rsidRPr="00772749">
        <w:rPr>
          <w:b/>
        </w:rPr>
        <w:t>Construction</w:t>
      </w:r>
      <w:r>
        <w:t xml:space="preserve"> in legal English means interpretation. To construe is the infinitive verb form of the term.</w:t>
      </w:r>
    </w:p>
    <w:p w:rsidR="00772749" w:rsidRDefault="00772749" w:rsidP="003A059C"/>
    <w:p w:rsidR="00772749" w:rsidRDefault="00772749" w:rsidP="003A059C">
      <w:r w:rsidRPr="00772749">
        <w:rPr>
          <w:b/>
        </w:rPr>
        <w:t>Construction</w:t>
      </w:r>
      <w:r>
        <w:t xml:space="preserve"> in legal English means; (1) the action of contructing [e.g. a building], </w:t>
      </w:r>
      <w:proofErr w:type="gramStart"/>
      <w:r>
        <w:t>(2) a building</w:t>
      </w:r>
      <w:proofErr w:type="gramEnd"/>
      <w:r>
        <w:t xml:space="preserve"> or other structure, (3) the industry of erecting buildings.</w:t>
      </w:r>
    </w:p>
    <w:p w:rsidR="00772749" w:rsidRDefault="00772749" w:rsidP="003A059C"/>
    <w:p w:rsidR="00772749" w:rsidRDefault="00772749" w:rsidP="003A059C">
      <w:r w:rsidRPr="00772749">
        <w:rPr>
          <w:b/>
        </w:rPr>
        <w:t>Redemption</w:t>
      </w:r>
      <w:r>
        <w:t xml:space="preserve"> in legal English means the return or repossession of property offered as security on payment of a mortgage debt or charge.</w:t>
      </w:r>
    </w:p>
    <w:p w:rsidR="00772749" w:rsidRDefault="00772749" w:rsidP="003A059C"/>
    <w:p w:rsidR="00772749" w:rsidRDefault="00772749" w:rsidP="003A059C">
      <w:r w:rsidRPr="00772749">
        <w:rPr>
          <w:b/>
        </w:rPr>
        <w:t xml:space="preserve">Redemption </w:t>
      </w:r>
      <w:r>
        <w:t>in ordinary English usually means Christian salvation.</w:t>
      </w:r>
    </w:p>
    <w:p w:rsidR="00772749" w:rsidRDefault="00772749" w:rsidP="003A059C"/>
    <w:p w:rsidR="00772749" w:rsidRDefault="00772749" w:rsidP="003A059C">
      <w:r w:rsidRPr="00772749">
        <w:rPr>
          <w:b/>
        </w:rPr>
        <w:t xml:space="preserve">Tender </w:t>
      </w:r>
      <w:r>
        <w:t xml:space="preserve">in legal English means an offer to supply goods or services. Normally a tender </w:t>
      </w:r>
      <w:proofErr w:type="gramStart"/>
      <w:r>
        <w:t>must be accepted</w:t>
      </w:r>
      <w:proofErr w:type="gramEnd"/>
      <w:r>
        <w:t xml:space="preserve"> to create a contract.</w:t>
      </w:r>
    </w:p>
    <w:p w:rsidR="00772749" w:rsidRDefault="00772749" w:rsidP="003A059C"/>
    <w:p w:rsidR="00772749" w:rsidRDefault="00772749" w:rsidP="003A059C">
      <w:r w:rsidRPr="00772749">
        <w:rPr>
          <w:b/>
        </w:rPr>
        <w:t>Tender</w:t>
      </w:r>
      <w:r>
        <w:t xml:space="preserve"> in ordinary English means; (1) gentle and kind, (2) (of food) easy to cut or chew, (3) (of a part of the body) painful to the touch, (4) young and vulnerable, (5) easily damaged.</w:t>
      </w:r>
    </w:p>
    <w:p w:rsidR="00772749" w:rsidRDefault="00772749" w:rsidP="003A059C"/>
    <w:p w:rsidR="00772749" w:rsidRPr="003A059C" w:rsidRDefault="00772749" w:rsidP="00154E31">
      <w:r>
        <w:t xml:space="preserve">A number of words and </w:t>
      </w:r>
      <w:proofErr w:type="gramStart"/>
      <w:r>
        <w:t>phrases which are used in ordinary English</w:t>
      </w:r>
      <w:proofErr w:type="gramEnd"/>
      <w:r>
        <w:t xml:space="preserve"> are also used in legal English but in unusual contexts. Examples include furnish, prefer, hold. </w:t>
      </w:r>
    </w:p>
    <w:sectPr w:rsidR="00772749" w:rsidRPr="003A0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BFB"/>
    <w:multiLevelType w:val="hybridMultilevel"/>
    <w:tmpl w:val="111E0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775E2"/>
    <w:multiLevelType w:val="multilevel"/>
    <w:tmpl w:val="657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7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517AE"/>
    <w:multiLevelType w:val="hybridMultilevel"/>
    <w:tmpl w:val="879E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0C7E2">
      <w:start w:val="41"/>
      <w:numFmt w:val="decimal"/>
      <w:lvlText w:val="%2."/>
      <w:lvlJc w:val="left"/>
      <w:pPr>
        <w:tabs>
          <w:tab w:val="num" w:pos="1440"/>
        </w:tabs>
        <w:ind w:left="1474" w:hanging="397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D4B14"/>
    <w:multiLevelType w:val="hybridMultilevel"/>
    <w:tmpl w:val="A2263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20608"/>
    <w:multiLevelType w:val="hybridMultilevel"/>
    <w:tmpl w:val="754EC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12C46"/>
    <w:multiLevelType w:val="multilevel"/>
    <w:tmpl w:val="7C1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7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9"/>
    <w:rsid w:val="0006400C"/>
    <w:rsid w:val="000A62C9"/>
    <w:rsid w:val="00140DB4"/>
    <w:rsid w:val="00154E31"/>
    <w:rsid w:val="002A0467"/>
    <w:rsid w:val="00352D15"/>
    <w:rsid w:val="00374CB9"/>
    <w:rsid w:val="003A059C"/>
    <w:rsid w:val="004B26F7"/>
    <w:rsid w:val="005A4B32"/>
    <w:rsid w:val="006C6CD1"/>
    <w:rsid w:val="00772749"/>
    <w:rsid w:val="007A4010"/>
    <w:rsid w:val="008241D7"/>
    <w:rsid w:val="009B382C"/>
    <w:rsid w:val="00A01B85"/>
    <w:rsid w:val="00B6026C"/>
    <w:rsid w:val="00DF4A8F"/>
    <w:rsid w:val="00E9060E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CB9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CB9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Reed</dc:creator>
  <cp:keywords/>
  <dc:description/>
  <cp:lastModifiedBy>Sharron Reed</cp:lastModifiedBy>
  <cp:revision>2</cp:revision>
  <cp:lastPrinted>2011-03-31T12:23:00Z</cp:lastPrinted>
  <dcterms:created xsi:type="dcterms:W3CDTF">2012-06-28T21:41:00Z</dcterms:created>
  <dcterms:modified xsi:type="dcterms:W3CDTF">2012-06-28T21:41:00Z</dcterms:modified>
</cp:coreProperties>
</file>